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0D202" w14:textId="77777777" w:rsidR="00997D8D" w:rsidRDefault="00997D8D" w:rsidP="00997D8D">
      <w:pPr>
        <w:pStyle w:val="p1"/>
        <w:rPr>
          <w:rFonts w:asciiTheme="minorHAnsi" w:hAnsiTheme="minorHAnsi"/>
          <w:b/>
          <w:bCs/>
          <w:sz w:val="20"/>
          <w:szCs w:val="20"/>
        </w:rPr>
      </w:pPr>
    </w:p>
    <w:p w14:paraId="4320D1AC" w14:textId="77777777" w:rsidR="00997D8D" w:rsidRDefault="00997D8D" w:rsidP="00997D8D">
      <w:pPr>
        <w:pStyle w:val="p1"/>
        <w:rPr>
          <w:rFonts w:asciiTheme="minorHAnsi" w:hAnsiTheme="minorHAnsi"/>
          <w:b/>
          <w:bCs/>
          <w:sz w:val="20"/>
          <w:szCs w:val="20"/>
        </w:rPr>
      </w:pPr>
    </w:p>
    <w:p w14:paraId="0F4C1959" w14:textId="77777777" w:rsidR="00997D8D" w:rsidRDefault="00997D8D" w:rsidP="00997D8D">
      <w:pPr>
        <w:pStyle w:val="p1"/>
        <w:rPr>
          <w:rFonts w:asciiTheme="minorHAnsi" w:hAnsiTheme="minorHAnsi"/>
          <w:b/>
          <w:bCs/>
          <w:sz w:val="20"/>
          <w:szCs w:val="20"/>
        </w:rPr>
      </w:pPr>
    </w:p>
    <w:p w14:paraId="2B1FE65F" w14:textId="77777777" w:rsidR="00997D8D" w:rsidRDefault="00997D8D" w:rsidP="00997D8D">
      <w:pPr>
        <w:pStyle w:val="p1"/>
        <w:rPr>
          <w:rFonts w:asciiTheme="minorHAnsi" w:hAnsiTheme="minorHAnsi"/>
          <w:b/>
          <w:bCs/>
          <w:sz w:val="20"/>
          <w:szCs w:val="20"/>
        </w:rPr>
      </w:pPr>
    </w:p>
    <w:p w14:paraId="780410EC" w14:textId="77777777" w:rsidR="00997D8D" w:rsidRDefault="00997D8D" w:rsidP="00997D8D">
      <w:pPr>
        <w:pStyle w:val="p1"/>
        <w:rPr>
          <w:rFonts w:asciiTheme="minorHAnsi" w:hAnsiTheme="minorHAnsi"/>
          <w:b/>
          <w:bCs/>
          <w:sz w:val="20"/>
          <w:szCs w:val="20"/>
        </w:rPr>
      </w:pPr>
    </w:p>
    <w:p w14:paraId="529D0F5D" w14:textId="77777777" w:rsidR="00997D8D" w:rsidRDefault="00997D8D" w:rsidP="00997D8D">
      <w:pPr>
        <w:pStyle w:val="p1"/>
        <w:rPr>
          <w:rFonts w:asciiTheme="minorHAnsi" w:hAnsiTheme="minorHAnsi"/>
          <w:b/>
          <w:bCs/>
          <w:sz w:val="20"/>
          <w:szCs w:val="20"/>
        </w:rPr>
      </w:pPr>
    </w:p>
    <w:p w14:paraId="72A61A70" w14:textId="77777777" w:rsidR="00997D8D" w:rsidRPr="00B22EAD" w:rsidRDefault="00997D8D" w:rsidP="00997D8D">
      <w:pPr>
        <w:pStyle w:val="p1"/>
        <w:rPr>
          <w:rFonts w:asciiTheme="minorHAnsi" w:hAnsiTheme="minorHAnsi"/>
          <w:b/>
          <w:bCs/>
          <w:sz w:val="20"/>
          <w:szCs w:val="20"/>
          <w:lang w:val="et-EE"/>
        </w:rPr>
      </w:pPr>
    </w:p>
    <w:p w14:paraId="6BA90D17" w14:textId="6E634DA1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b/>
          <w:bCs/>
          <w:sz w:val="20"/>
          <w:szCs w:val="20"/>
          <w:lang w:val="et-EE"/>
        </w:rPr>
        <w:t>Justiits- ja Digiministeerium</w:t>
      </w:r>
    </w:p>
    <w:p w14:paraId="4F682ABC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sz w:val="20"/>
          <w:szCs w:val="20"/>
          <w:lang w:val="et-EE"/>
        </w:rPr>
        <w:t>Suur-Ameerika 1</w:t>
      </w:r>
    </w:p>
    <w:p w14:paraId="6A3C400B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sz w:val="20"/>
          <w:szCs w:val="20"/>
          <w:lang w:val="et-EE"/>
        </w:rPr>
        <w:t>10122 Tallinn</w:t>
      </w:r>
    </w:p>
    <w:p w14:paraId="2471C65B" w14:textId="77777777" w:rsidR="00997D8D" w:rsidRPr="00B22EAD" w:rsidRDefault="00997D8D" w:rsidP="00997D8D">
      <w:pPr>
        <w:pStyle w:val="p2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sz w:val="20"/>
          <w:szCs w:val="20"/>
          <w:lang w:val="et-EE"/>
        </w:rPr>
        <w:t>info@justdigi.ee</w:t>
      </w:r>
    </w:p>
    <w:p w14:paraId="3BD35B2A" w14:textId="59EF24B6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sz w:val="20"/>
          <w:szCs w:val="20"/>
          <w:lang w:val="et-EE"/>
        </w:rPr>
        <w:tab/>
      </w:r>
      <w:r w:rsidRPr="00B22EAD">
        <w:rPr>
          <w:rFonts w:asciiTheme="minorHAnsi" w:hAnsiTheme="minorHAnsi"/>
          <w:sz w:val="20"/>
          <w:szCs w:val="20"/>
          <w:lang w:val="et-EE"/>
        </w:rPr>
        <w:tab/>
      </w:r>
      <w:r w:rsidRPr="00B22EAD">
        <w:rPr>
          <w:rFonts w:asciiTheme="minorHAnsi" w:hAnsiTheme="minorHAnsi"/>
          <w:sz w:val="20"/>
          <w:szCs w:val="20"/>
          <w:lang w:val="et-EE"/>
        </w:rPr>
        <w:tab/>
      </w:r>
      <w:r w:rsidRPr="00B22EAD">
        <w:rPr>
          <w:rFonts w:asciiTheme="minorHAnsi" w:hAnsiTheme="minorHAnsi"/>
          <w:sz w:val="20"/>
          <w:szCs w:val="20"/>
          <w:lang w:val="et-EE"/>
        </w:rPr>
        <w:tab/>
      </w:r>
      <w:r w:rsidRPr="00B22EAD">
        <w:rPr>
          <w:rFonts w:asciiTheme="minorHAnsi" w:hAnsiTheme="minorHAnsi"/>
          <w:sz w:val="20"/>
          <w:szCs w:val="20"/>
          <w:lang w:val="et-EE"/>
        </w:rPr>
        <w:tab/>
      </w:r>
      <w:r w:rsidRPr="00B22EAD">
        <w:rPr>
          <w:rFonts w:asciiTheme="minorHAnsi" w:hAnsiTheme="minorHAnsi"/>
          <w:sz w:val="20"/>
          <w:szCs w:val="20"/>
          <w:lang w:val="et-EE"/>
        </w:rPr>
        <w:tab/>
      </w:r>
      <w:r w:rsidRPr="00B22EAD">
        <w:rPr>
          <w:rFonts w:asciiTheme="minorHAnsi" w:hAnsiTheme="minorHAnsi"/>
          <w:sz w:val="20"/>
          <w:szCs w:val="20"/>
          <w:lang w:val="et-EE"/>
        </w:rPr>
        <w:tab/>
      </w:r>
      <w:r w:rsidRPr="00B22EAD">
        <w:rPr>
          <w:rFonts w:asciiTheme="minorHAnsi" w:hAnsiTheme="minorHAnsi"/>
          <w:sz w:val="20"/>
          <w:szCs w:val="20"/>
          <w:lang w:val="et-EE"/>
        </w:rPr>
        <w:tab/>
      </w:r>
      <w:r w:rsidRPr="00B22EAD">
        <w:rPr>
          <w:rFonts w:asciiTheme="minorHAnsi" w:hAnsiTheme="minorHAnsi"/>
          <w:sz w:val="20"/>
          <w:szCs w:val="20"/>
          <w:lang w:val="et-EE"/>
        </w:rPr>
        <w:tab/>
      </w:r>
      <w:r w:rsidRPr="00B22EAD">
        <w:rPr>
          <w:rFonts w:asciiTheme="minorHAnsi" w:hAnsiTheme="minorHAnsi"/>
          <w:sz w:val="20"/>
          <w:szCs w:val="20"/>
          <w:lang w:val="et-EE"/>
        </w:rPr>
        <w:tab/>
        <w:t>20.0</w:t>
      </w:r>
      <w:r w:rsidR="0017246E">
        <w:rPr>
          <w:rFonts w:asciiTheme="minorHAnsi" w:hAnsiTheme="minorHAnsi"/>
          <w:sz w:val="20"/>
          <w:szCs w:val="20"/>
          <w:lang w:val="et-EE"/>
        </w:rPr>
        <w:t>5</w:t>
      </w:r>
      <w:r w:rsidRPr="00B22EAD">
        <w:rPr>
          <w:rFonts w:asciiTheme="minorHAnsi" w:hAnsiTheme="minorHAnsi"/>
          <w:sz w:val="20"/>
          <w:szCs w:val="20"/>
          <w:lang w:val="et-EE"/>
        </w:rPr>
        <w:t>.2026</w:t>
      </w:r>
    </w:p>
    <w:p w14:paraId="365D2663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</w:p>
    <w:p w14:paraId="2E966C6C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</w:p>
    <w:p w14:paraId="5BCA3783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b/>
          <w:bCs/>
          <w:sz w:val="20"/>
          <w:szCs w:val="20"/>
          <w:lang w:val="et-EE"/>
        </w:rPr>
        <w:t>Tele2 Eesti AS tagasiside majandus- ja kommunikatsiooniministri 14. juuni 2011. a määruse nr</w:t>
      </w:r>
    </w:p>
    <w:p w14:paraId="77C072FB" w14:textId="77777777" w:rsidR="00997D8D" w:rsidRPr="00B22EAD" w:rsidRDefault="00997D8D" w:rsidP="00997D8D">
      <w:pPr>
        <w:pStyle w:val="p1"/>
        <w:rPr>
          <w:rFonts w:asciiTheme="minorHAnsi" w:hAnsiTheme="minorHAnsi"/>
          <w:b/>
          <w:bCs/>
          <w:sz w:val="20"/>
          <w:szCs w:val="20"/>
          <w:lang w:val="et-EE"/>
        </w:rPr>
      </w:pPr>
      <w:r w:rsidRPr="00B22EAD">
        <w:rPr>
          <w:rFonts w:asciiTheme="minorHAnsi" w:hAnsiTheme="minorHAnsi"/>
          <w:b/>
          <w:bCs/>
          <w:sz w:val="20"/>
          <w:szCs w:val="20"/>
          <w:lang w:val="et-EE"/>
        </w:rPr>
        <w:t>44 „Nõuded numbri liikuvuse tagamiseks sideettevõtja vahetamisel“ muutmise</w:t>
      </w:r>
      <w:r w:rsidRPr="00B22EAD">
        <w:rPr>
          <w:rFonts w:asciiTheme="minorHAnsi" w:hAnsiTheme="minorHAnsi"/>
          <w:sz w:val="20"/>
          <w:szCs w:val="20"/>
          <w:lang w:val="et-EE"/>
        </w:rPr>
        <w:t xml:space="preserve"> </w:t>
      </w:r>
      <w:r w:rsidRPr="00B22EAD">
        <w:rPr>
          <w:rFonts w:asciiTheme="minorHAnsi" w:hAnsiTheme="minorHAnsi"/>
          <w:b/>
          <w:bCs/>
          <w:sz w:val="20"/>
          <w:szCs w:val="20"/>
          <w:lang w:val="et-EE"/>
        </w:rPr>
        <w:t>eelnõule</w:t>
      </w:r>
    </w:p>
    <w:p w14:paraId="2D07F195" w14:textId="77777777" w:rsidR="00997D8D" w:rsidRPr="00B22EAD" w:rsidRDefault="00997D8D" w:rsidP="00997D8D">
      <w:pPr>
        <w:pStyle w:val="p1"/>
        <w:rPr>
          <w:rFonts w:asciiTheme="minorHAnsi" w:hAnsiTheme="minorHAnsi"/>
          <w:b/>
          <w:bCs/>
          <w:sz w:val="20"/>
          <w:szCs w:val="20"/>
          <w:lang w:val="et-EE"/>
        </w:rPr>
      </w:pPr>
    </w:p>
    <w:p w14:paraId="24CBB846" w14:textId="77777777" w:rsidR="00997D8D" w:rsidRPr="00B22EAD" w:rsidRDefault="00997D8D" w:rsidP="00997D8D">
      <w:pPr>
        <w:pStyle w:val="p1"/>
        <w:rPr>
          <w:rFonts w:asciiTheme="minorHAnsi" w:hAnsiTheme="minorHAnsi"/>
          <w:b/>
          <w:bCs/>
          <w:sz w:val="20"/>
          <w:szCs w:val="20"/>
          <w:lang w:val="et-EE"/>
        </w:rPr>
      </w:pPr>
    </w:p>
    <w:p w14:paraId="3669126C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sz w:val="20"/>
          <w:szCs w:val="20"/>
          <w:lang w:val="et-EE"/>
        </w:rPr>
        <w:t>Täname tagasiside andmise võimaluse eest.</w:t>
      </w:r>
    </w:p>
    <w:p w14:paraId="77F48D87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</w:p>
    <w:p w14:paraId="7BE65B24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sz w:val="20"/>
          <w:szCs w:val="20"/>
          <w:lang w:val="et-EE"/>
        </w:rPr>
        <w:t>Oleme jätkuvalt seisukohal, et kiire mobiiltelefoninumbrite liikuvuse protsess edendab tarbija</w:t>
      </w:r>
    </w:p>
    <w:p w14:paraId="4F4371E2" w14:textId="44F2F27F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sz w:val="20"/>
          <w:szCs w:val="20"/>
          <w:lang w:val="et-EE"/>
        </w:rPr>
        <w:t>valikuvõimalust ja konkurentsi sideturul. (Pikemalt oleme seda seisukohta põhistanud</w:t>
      </w:r>
      <w:r w:rsidR="0088407A">
        <w:rPr>
          <w:rFonts w:asciiTheme="minorHAnsi" w:hAnsiTheme="minorHAnsi"/>
          <w:sz w:val="20"/>
          <w:szCs w:val="20"/>
          <w:lang w:val="et-EE"/>
        </w:rPr>
        <w:t xml:space="preserve"> juba </w:t>
      </w:r>
      <w:r w:rsidRPr="00B22EAD">
        <w:rPr>
          <w:rFonts w:asciiTheme="minorHAnsi" w:hAnsiTheme="minorHAnsi"/>
          <w:sz w:val="20"/>
          <w:szCs w:val="20"/>
          <w:lang w:val="et-EE"/>
        </w:rPr>
        <w:t>oma 17.04.2025 kirjas.)</w:t>
      </w:r>
    </w:p>
    <w:p w14:paraId="6974C40A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</w:p>
    <w:p w14:paraId="3A5D08FB" w14:textId="5823E9B8" w:rsidR="0017246E" w:rsidRDefault="0017246E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>
        <w:rPr>
          <w:rFonts w:asciiTheme="minorHAnsi" w:hAnsiTheme="minorHAnsi"/>
          <w:sz w:val="20"/>
          <w:szCs w:val="20"/>
          <w:lang w:val="et-EE"/>
        </w:rPr>
        <w:t>Kurb</w:t>
      </w:r>
      <w:r w:rsidR="00997D8D" w:rsidRPr="00B22EAD">
        <w:rPr>
          <w:rFonts w:asciiTheme="minorHAnsi" w:hAnsiTheme="minorHAnsi"/>
          <w:sz w:val="20"/>
          <w:szCs w:val="20"/>
          <w:lang w:val="et-EE"/>
        </w:rPr>
        <w:t xml:space="preserve"> on tõdeda, et </w:t>
      </w:r>
      <w:r>
        <w:rPr>
          <w:rFonts w:asciiTheme="minorHAnsi" w:hAnsiTheme="minorHAnsi"/>
          <w:sz w:val="20"/>
          <w:szCs w:val="20"/>
          <w:lang w:val="et-EE"/>
        </w:rPr>
        <w:t xml:space="preserve">võrreldes 2026.a. </w:t>
      </w:r>
      <w:r w:rsidR="0023082B">
        <w:rPr>
          <w:rFonts w:asciiTheme="minorHAnsi" w:hAnsiTheme="minorHAnsi"/>
          <w:sz w:val="20"/>
          <w:szCs w:val="20"/>
          <w:lang w:val="et-EE"/>
        </w:rPr>
        <w:t xml:space="preserve">alguses </w:t>
      </w:r>
      <w:r>
        <w:rPr>
          <w:rFonts w:asciiTheme="minorHAnsi" w:hAnsiTheme="minorHAnsi"/>
          <w:sz w:val="20"/>
          <w:szCs w:val="20"/>
          <w:lang w:val="et-EE"/>
        </w:rPr>
        <w:t>jagatud eelnõuga</w:t>
      </w:r>
      <w:r w:rsidR="0088407A">
        <w:rPr>
          <w:rFonts w:asciiTheme="minorHAnsi" w:hAnsiTheme="minorHAnsi"/>
          <w:sz w:val="20"/>
          <w:szCs w:val="20"/>
          <w:lang w:val="et-EE"/>
        </w:rPr>
        <w:t>,</w:t>
      </w:r>
      <w:r>
        <w:rPr>
          <w:rFonts w:asciiTheme="minorHAnsi" w:hAnsiTheme="minorHAnsi"/>
          <w:sz w:val="20"/>
          <w:szCs w:val="20"/>
          <w:lang w:val="et-EE"/>
        </w:rPr>
        <w:t xml:space="preserve"> on käesoleva eelnõuga </w:t>
      </w:r>
      <w:r w:rsidR="00997D8D" w:rsidRPr="00B22EAD">
        <w:rPr>
          <w:rFonts w:asciiTheme="minorHAnsi" w:hAnsiTheme="minorHAnsi"/>
          <w:sz w:val="20"/>
          <w:szCs w:val="20"/>
          <w:lang w:val="et-EE"/>
        </w:rPr>
        <w:t xml:space="preserve">astutud samm </w:t>
      </w:r>
      <w:r>
        <w:rPr>
          <w:rFonts w:asciiTheme="minorHAnsi" w:hAnsiTheme="minorHAnsi"/>
          <w:sz w:val="20"/>
          <w:szCs w:val="20"/>
          <w:lang w:val="et-EE"/>
        </w:rPr>
        <w:t xml:space="preserve">tagasi </w:t>
      </w:r>
      <w:r w:rsidR="00997D8D" w:rsidRPr="00B22EAD">
        <w:rPr>
          <w:rFonts w:asciiTheme="minorHAnsi" w:hAnsiTheme="minorHAnsi"/>
          <w:sz w:val="20"/>
          <w:szCs w:val="20"/>
          <w:lang w:val="et-EE"/>
        </w:rPr>
        <w:t>kaasaegse ning tarbijate huvidele vastava numbri teisaldamise</w:t>
      </w:r>
      <w:r w:rsidR="0023082B">
        <w:rPr>
          <w:rFonts w:asciiTheme="minorHAnsi" w:hAnsiTheme="minorHAnsi"/>
          <w:sz w:val="20"/>
          <w:szCs w:val="20"/>
          <w:lang w:val="et-EE"/>
        </w:rPr>
        <w:t xml:space="preserve"> osas</w:t>
      </w:r>
      <w:r>
        <w:rPr>
          <w:rFonts w:asciiTheme="minorHAnsi" w:hAnsiTheme="minorHAnsi"/>
          <w:sz w:val="20"/>
          <w:szCs w:val="20"/>
          <w:lang w:val="et-EE"/>
        </w:rPr>
        <w:t xml:space="preserve"> ning 15 minuti portimise asemel võib uues eelnõus kirjeldatud portimine </w:t>
      </w:r>
      <w:r w:rsidR="00E64C59">
        <w:rPr>
          <w:rFonts w:asciiTheme="minorHAnsi" w:hAnsiTheme="minorHAnsi"/>
          <w:sz w:val="20"/>
          <w:szCs w:val="20"/>
          <w:lang w:val="et-EE"/>
        </w:rPr>
        <w:t xml:space="preserve">venida ligemale poole nädala </w:t>
      </w:r>
      <w:r>
        <w:rPr>
          <w:rFonts w:asciiTheme="minorHAnsi" w:hAnsiTheme="minorHAnsi"/>
          <w:sz w:val="20"/>
          <w:szCs w:val="20"/>
          <w:lang w:val="et-EE"/>
        </w:rPr>
        <w:t>pikkuseks. Näiteks juhul, kui portimine algatatakse reede õhtul.</w:t>
      </w:r>
    </w:p>
    <w:p w14:paraId="4EA57D78" w14:textId="77777777" w:rsidR="00CC3F18" w:rsidRDefault="00CC3F18" w:rsidP="00CC3F18">
      <w:pPr>
        <w:pStyle w:val="p1"/>
        <w:rPr>
          <w:rFonts w:asciiTheme="minorHAnsi" w:hAnsiTheme="minorHAnsi"/>
          <w:sz w:val="20"/>
          <w:szCs w:val="20"/>
          <w:lang w:val="et-EE"/>
        </w:rPr>
      </w:pPr>
    </w:p>
    <w:p w14:paraId="162BC4B4" w14:textId="6481479F" w:rsidR="0017246E" w:rsidRDefault="00CC3F18" w:rsidP="00CC3F18">
      <w:pPr>
        <w:pStyle w:val="p1"/>
        <w:rPr>
          <w:rFonts w:asciiTheme="minorHAnsi" w:hAnsiTheme="minorHAnsi"/>
          <w:sz w:val="20"/>
          <w:szCs w:val="20"/>
          <w:lang w:val="et-EE"/>
        </w:rPr>
      </w:pPr>
      <w:r>
        <w:rPr>
          <w:rFonts w:asciiTheme="minorHAnsi" w:hAnsiTheme="minorHAnsi"/>
          <w:sz w:val="20"/>
          <w:szCs w:val="20"/>
          <w:lang w:val="et-EE"/>
        </w:rPr>
        <w:t xml:space="preserve">Seletuskirja kohaselt: „kui </w:t>
      </w:r>
      <w:r w:rsidRPr="00CC3F18">
        <w:rPr>
          <w:rFonts w:asciiTheme="minorHAnsi" w:hAnsiTheme="minorHAnsi"/>
          <w:sz w:val="20"/>
          <w:szCs w:val="20"/>
          <w:lang w:val="et-EE"/>
        </w:rPr>
        <w:t>vastuvõtjaoperaator saab kliendi avalduse tööpäeval kell 17.00, kuid tema töölepingu järgi on tööpäev 9.00–17.00, siis algab ühe tunni arvestus järgmisel tööpäeval kell 9.00.</w:t>
      </w:r>
      <w:r>
        <w:rPr>
          <w:rFonts w:asciiTheme="minorHAnsi" w:hAnsiTheme="minorHAnsi"/>
          <w:sz w:val="20"/>
          <w:szCs w:val="20"/>
          <w:lang w:val="et-EE"/>
        </w:rPr>
        <w:t xml:space="preserve">“ </w:t>
      </w:r>
    </w:p>
    <w:p w14:paraId="3C90D2AE" w14:textId="77777777" w:rsidR="00CC3F18" w:rsidRDefault="00CC3F18" w:rsidP="00CC3F18">
      <w:pPr>
        <w:pStyle w:val="p1"/>
        <w:rPr>
          <w:rFonts w:asciiTheme="minorHAnsi" w:hAnsiTheme="minorHAnsi"/>
          <w:sz w:val="20"/>
          <w:szCs w:val="20"/>
          <w:lang w:val="et-EE"/>
        </w:rPr>
      </w:pPr>
    </w:p>
    <w:p w14:paraId="68086968" w14:textId="40D83103" w:rsidR="00CC3F18" w:rsidRDefault="00CC3F18" w:rsidP="00CC3F18">
      <w:pPr>
        <w:pStyle w:val="p1"/>
        <w:rPr>
          <w:rFonts w:asciiTheme="minorHAnsi" w:hAnsiTheme="minorHAnsi"/>
          <w:sz w:val="20"/>
          <w:szCs w:val="20"/>
          <w:lang w:val="et-EE"/>
        </w:rPr>
      </w:pPr>
      <w:r>
        <w:rPr>
          <w:rFonts w:asciiTheme="minorHAnsi" w:hAnsiTheme="minorHAnsi"/>
          <w:sz w:val="20"/>
          <w:szCs w:val="20"/>
          <w:lang w:val="et-EE"/>
        </w:rPr>
        <w:t>Sellise käsitluse kohaselt realiseerub reedel 17:00 algatatud portimine kõige varem alles teisipäeva öösel kell 03:00</w:t>
      </w:r>
      <w:r w:rsidR="0088407A">
        <w:rPr>
          <w:rFonts w:asciiTheme="minorHAnsi" w:hAnsiTheme="minorHAnsi"/>
          <w:sz w:val="20"/>
          <w:szCs w:val="20"/>
          <w:lang w:val="et-EE"/>
        </w:rPr>
        <w:t>. Teisisõnu, teenusepakkuja vahetamine võtab aega 82 tundi, ehk üle kolme</w:t>
      </w:r>
      <w:r w:rsidR="009E4660">
        <w:rPr>
          <w:rFonts w:asciiTheme="minorHAnsi" w:hAnsiTheme="minorHAnsi"/>
          <w:sz w:val="20"/>
          <w:szCs w:val="20"/>
          <w:lang w:val="et-EE"/>
        </w:rPr>
        <w:t xml:space="preserve"> </w:t>
      </w:r>
      <w:r w:rsidR="0088407A">
        <w:rPr>
          <w:rFonts w:asciiTheme="minorHAnsi" w:hAnsiTheme="minorHAnsi"/>
          <w:sz w:val="20"/>
          <w:szCs w:val="20"/>
          <w:lang w:val="et-EE"/>
        </w:rPr>
        <w:t>päeva.</w:t>
      </w:r>
      <w:r w:rsidR="006E5F8F">
        <w:rPr>
          <w:rFonts w:asciiTheme="minorHAnsi" w:hAnsiTheme="minorHAnsi"/>
          <w:sz w:val="20"/>
          <w:szCs w:val="20"/>
          <w:lang w:val="et-EE"/>
        </w:rPr>
        <w:t xml:space="preserve"> (Nädalalõppudele eelnevate või järgnevate riigipühade korral veelgi kauem.) </w:t>
      </w:r>
      <w:r w:rsidR="0088407A">
        <w:rPr>
          <w:rFonts w:asciiTheme="minorHAnsi" w:hAnsiTheme="minorHAnsi"/>
          <w:sz w:val="20"/>
          <w:szCs w:val="20"/>
          <w:lang w:val="et-EE"/>
        </w:rPr>
        <w:t xml:space="preserve">Seda ei saa kindlasti nimetada kiireks portimiseks. </w:t>
      </w:r>
    </w:p>
    <w:p w14:paraId="1FF17144" w14:textId="77777777" w:rsidR="0088407A" w:rsidRDefault="0088407A" w:rsidP="00CC3F18">
      <w:pPr>
        <w:pStyle w:val="p1"/>
        <w:rPr>
          <w:rFonts w:asciiTheme="minorHAnsi" w:hAnsiTheme="minorHAnsi"/>
          <w:sz w:val="20"/>
          <w:szCs w:val="20"/>
          <w:lang w:val="et-EE"/>
        </w:rPr>
      </w:pPr>
    </w:p>
    <w:p w14:paraId="00E70D96" w14:textId="3F611D4A" w:rsidR="0088407A" w:rsidRDefault="0088407A" w:rsidP="0023082B">
      <w:pPr>
        <w:pStyle w:val="p1"/>
        <w:rPr>
          <w:rFonts w:asciiTheme="minorHAnsi" w:hAnsiTheme="minorHAnsi"/>
          <w:sz w:val="20"/>
          <w:szCs w:val="20"/>
          <w:lang w:val="et-EE"/>
        </w:rPr>
      </w:pPr>
      <w:r>
        <w:rPr>
          <w:rFonts w:asciiTheme="minorHAnsi" w:hAnsiTheme="minorHAnsi"/>
          <w:sz w:val="20"/>
          <w:szCs w:val="20"/>
          <w:lang w:val="et-EE"/>
        </w:rPr>
        <w:t>Tulenevalt</w:t>
      </w:r>
      <w:r w:rsidR="0023082B">
        <w:rPr>
          <w:rFonts w:asciiTheme="minorHAnsi" w:hAnsiTheme="minorHAnsi"/>
          <w:sz w:val="20"/>
          <w:szCs w:val="20"/>
          <w:lang w:val="et-EE"/>
        </w:rPr>
        <w:t>,</w:t>
      </w:r>
      <w:r>
        <w:rPr>
          <w:rFonts w:asciiTheme="minorHAnsi" w:hAnsiTheme="minorHAnsi"/>
          <w:sz w:val="20"/>
          <w:szCs w:val="20"/>
          <w:lang w:val="et-EE"/>
        </w:rPr>
        <w:t xml:space="preserve"> teeme ettepaneku kasutada mõiste „</w:t>
      </w:r>
      <w:r w:rsidR="0023082B">
        <w:rPr>
          <w:rFonts w:asciiTheme="minorHAnsi" w:hAnsiTheme="minorHAnsi"/>
          <w:sz w:val="20"/>
          <w:szCs w:val="20"/>
          <w:lang w:val="et-EE"/>
        </w:rPr>
        <w:t xml:space="preserve">ühe </w:t>
      </w:r>
      <w:r>
        <w:rPr>
          <w:rFonts w:asciiTheme="minorHAnsi" w:hAnsiTheme="minorHAnsi"/>
          <w:sz w:val="20"/>
          <w:szCs w:val="20"/>
          <w:lang w:val="et-EE"/>
        </w:rPr>
        <w:t>töötunni</w:t>
      </w:r>
      <w:r w:rsidR="0023082B">
        <w:rPr>
          <w:rFonts w:asciiTheme="minorHAnsi" w:hAnsiTheme="minorHAnsi"/>
          <w:sz w:val="20"/>
          <w:szCs w:val="20"/>
          <w:lang w:val="et-EE"/>
        </w:rPr>
        <w:t xml:space="preserve"> jooksul“</w:t>
      </w:r>
      <w:r>
        <w:rPr>
          <w:rFonts w:asciiTheme="minorHAnsi" w:hAnsiTheme="minorHAnsi"/>
          <w:sz w:val="20"/>
          <w:szCs w:val="20"/>
          <w:lang w:val="et-EE"/>
        </w:rPr>
        <w:t xml:space="preserve"> aseme</w:t>
      </w:r>
      <w:r w:rsidR="0023082B">
        <w:rPr>
          <w:rFonts w:asciiTheme="minorHAnsi" w:hAnsiTheme="minorHAnsi"/>
          <w:sz w:val="20"/>
          <w:szCs w:val="20"/>
          <w:lang w:val="et-EE"/>
        </w:rPr>
        <w:t>l mõistet „ühe tunni jooksul“.  See aitaks kaasa määruse eesmärgi saavutamisele (</w:t>
      </w:r>
      <w:r w:rsidR="0023082B" w:rsidRPr="0023082B">
        <w:rPr>
          <w:rFonts w:asciiTheme="minorHAnsi" w:hAnsiTheme="minorHAnsi"/>
          <w:i/>
          <w:iCs/>
          <w:sz w:val="20"/>
          <w:szCs w:val="20"/>
          <w:lang w:val="et-EE"/>
        </w:rPr>
        <w:t>kiirendada mobiiltelefoninumbrite teisaldamist, et parandada konkurentsi sideettevõtjate vahel ja pakkuda tarbijatele soodsamaid ning kvaliteetsemaid</w:t>
      </w:r>
      <w:r w:rsidR="0023082B" w:rsidRPr="0023082B">
        <w:rPr>
          <w:rFonts w:asciiTheme="minorHAnsi" w:hAnsiTheme="minorHAnsi"/>
          <w:i/>
          <w:iCs/>
          <w:sz w:val="20"/>
          <w:szCs w:val="20"/>
          <w:lang w:val="et-EE"/>
        </w:rPr>
        <w:t xml:space="preserve"> </w:t>
      </w:r>
      <w:r w:rsidR="0023082B" w:rsidRPr="0023082B">
        <w:rPr>
          <w:rFonts w:asciiTheme="minorHAnsi" w:hAnsiTheme="minorHAnsi"/>
          <w:i/>
          <w:iCs/>
          <w:sz w:val="20"/>
          <w:szCs w:val="20"/>
          <w:lang w:val="et-EE"/>
        </w:rPr>
        <w:t>teenuseid</w:t>
      </w:r>
      <w:r w:rsidR="0023082B">
        <w:rPr>
          <w:rFonts w:asciiTheme="minorHAnsi" w:hAnsiTheme="minorHAnsi"/>
          <w:i/>
          <w:iCs/>
          <w:sz w:val="20"/>
          <w:szCs w:val="20"/>
          <w:lang w:val="et-EE"/>
        </w:rPr>
        <w:t>)</w:t>
      </w:r>
      <w:r w:rsidR="00DD1BB3">
        <w:rPr>
          <w:rFonts w:asciiTheme="minorHAnsi" w:hAnsiTheme="minorHAnsi"/>
          <w:i/>
          <w:iCs/>
          <w:sz w:val="20"/>
          <w:szCs w:val="20"/>
          <w:lang w:val="et-EE"/>
        </w:rPr>
        <w:t xml:space="preserve">, </w:t>
      </w:r>
      <w:r w:rsidR="0023082B">
        <w:rPr>
          <w:rFonts w:asciiTheme="minorHAnsi" w:hAnsiTheme="minorHAnsi"/>
          <w:sz w:val="20"/>
          <w:szCs w:val="20"/>
          <w:lang w:val="et-EE"/>
        </w:rPr>
        <w:t>suurendaks õigusselgust</w:t>
      </w:r>
      <w:r w:rsidR="00DD1BB3">
        <w:rPr>
          <w:rFonts w:asciiTheme="minorHAnsi" w:hAnsiTheme="minorHAnsi"/>
          <w:sz w:val="20"/>
          <w:szCs w:val="20"/>
          <w:lang w:val="et-EE"/>
        </w:rPr>
        <w:t xml:space="preserve"> ning vähendaks manipuleerimise riski.</w:t>
      </w:r>
    </w:p>
    <w:p w14:paraId="785E3FD5" w14:textId="77777777" w:rsidR="006E5F8F" w:rsidRDefault="006E5F8F" w:rsidP="0023082B">
      <w:pPr>
        <w:pStyle w:val="p1"/>
        <w:rPr>
          <w:rFonts w:asciiTheme="minorHAnsi" w:hAnsiTheme="minorHAnsi"/>
          <w:sz w:val="20"/>
          <w:szCs w:val="20"/>
          <w:lang w:val="et-EE"/>
        </w:rPr>
      </w:pPr>
    </w:p>
    <w:p w14:paraId="3CC7BCA7" w14:textId="70165B87" w:rsidR="006E5F8F" w:rsidRPr="0023082B" w:rsidRDefault="006E5F8F" w:rsidP="0023082B">
      <w:pPr>
        <w:pStyle w:val="p1"/>
        <w:rPr>
          <w:rFonts w:asciiTheme="minorHAnsi" w:hAnsiTheme="minorHAnsi"/>
          <w:sz w:val="20"/>
          <w:szCs w:val="20"/>
          <w:lang w:val="et-EE"/>
        </w:rPr>
      </w:pPr>
      <w:r>
        <w:rPr>
          <w:rFonts w:asciiTheme="minorHAnsi" w:hAnsiTheme="minorHAnsi"/>
          <w:sz w:val="20"/>
          <w:szCs w:val="20"/>
          <w:lang w:val="et-EE"/>
        </w:rPr>
        <w:t>Ühtlasi kinnitame, et eelnõus viidatud üleminekuaeg (ehk määruse jõustumine 1.november 2026) on piisav.</w:t>
      </w:r>
    </w:p>
    <w:p w14:paraId="166099E0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</w:p>
    <w:p w14:paraId="12FBF607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sz w:val="20"/>
          <w:szCs w:val="20"/>
          <w:lang w:val="et-EE"/>
        </w:rPr>
        <w:t>Lugupidamisega,</w:t>
      </w:r>
    </w:p>
    <w:p w14:paraId="671A213D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</w:p>
    <w:p w14:paraId="707A11ED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</w:p>
    <w:p w14:paraId="160E991A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sz w:val="20"/>
          <w:szCs w:val="20"/>
          <w:lang w:val="et-EE"/>
        </w:rPr>
        <w:t>Taivo Kendla</w:t>
      </w:r>
    </w:p>
    <w:p w14:paraId="4914326B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sz w:val="20"/>
          <w:szCs w:val="20"/>
          <w:lang w:val="et-EE"/>
        </w:rPr>
        <w:t>Juhatuse liige</w:t>
      </w:r>
    </w:p>
    <w:p w14:paraId="26DF00A6" w14:textId="77777777" w:rsidR="00997D8D" w:rsidRPr="00B22EAD" w:rsidRDefault="00997D8D" w:rsidP="00997D8D">
      <w:pPr>
        <w:pStyle w:val="p1"/>
        <w:rPr>
          <w:rFonts w:asciiTheme="minorHAnsi" w:hAnsiTheme="minorHAnsi"/>
          <w:sz w:val="20"/>
          <w:szCs w:val="20"/>
          <w:lang w:val="et-EE"/>
        </w:rPr>
      </w:pPr>
      <w:r w:rsidRPr="00B22EAD">
        <w:rPr>
          <w:rFonts w:asciiTheme="minorHAnsi" w:hAnsiTheme="minorHAnsi"/>
          <w:sz w:val="20"/>
          <w:szCs w:val="20"/>
          <w:lang w:val="et-EE"/>
        </w:rPr>
        <w:t>Tele2 Eesti AS</w:t>
      </w:r>
    </w:p>
    <w:p w14:paraId="09587B29" w14:textId="55FF265C" w:rsidR="00997D8D" w:rsidRPr="007E660F" w:rsidRDefault="00997D8D" w:rsidP="00997D8D">
      <w:pPr>
        <w:spacing w:after="160" w:line="259" w:lineRule="auto"/>
        <w:jc w:val="both"/>
        <w:rPr>
          <w:rFonts w:ascii="Arial" w:hAnsi="Arial" w:cs="Arial"/>
          <w:sz w:val="20"/>
          <w:szCs w:val="20"/>
          <w:lang w:val="fi-FI"/>
        </w:rPr>
      </w:pPr>
    </w:p>
    <w:sectPr w:rsidR="00997D8D" w:rsidRPr="007E660F" w:rsidSect="005E111E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2636" w14:textId="77777777" w:rsidR="00082E6D" w:rsidRDefault="00082E6D">
      <w:r>
        <w:separator/>
      </w:r>
    </w:p>
  </w:endnote>
  <w:endnote w:type="continuationSeparator" w:id="0">
    <w:p w14:paraId="4A4F4C1F" w14:textId="77777777" w:rsidR="00082E6D" w:rsidRDefault="0008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87A8" w14:textId="1F06D538" w:rsidR="007E660F" w:rsidRDefault="007E66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2E9AAF" wp14:editId="7363BA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836438305" name="Text Box 2" descr="Information Classification: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D436D" w14:textId="042092CE" w:rsidR="007E660F" w:rsidRPr="007E660F" w:rsidRDefault="007E660F" w:rsidP="007E66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E66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Information Classification: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E9A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Internal 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87LCwIAABo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" filled="f" stroked="f">
              <v:textbox style="mso-fit-shape-to-text:t" inset="20pt,0,0,15pt">
                <w:txbxContent>
                  <w:p w14:paraId="594D436D" w14:textId="042092CE" w:rsidR="007E660F" w:rsidRPr="007E660F" w:rsidRDefault="007E660F" w:rsidP="007E660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E660F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Information Classification: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Look w:val="01E0" w:firstRow="1" w:lastRow="1" w:firstColumn="1" w:lastColumn="1" w:noHBand="0" w:noVBand="0"/>
    </w:tblPr>
    <w:tblGrid>
      <w:gridCol w:w="4965"/>
      <w:gridCol w:w="4503"/>
    </w:tblGrid>
    <w:tr w:rsidR="00091E27" w:rsidRPr="00477FD9" w14:paraId="15E812F4" w14:textId="77777777" w:rsidTr="00477FD9">
      <w:trPr>
        <w:trHeight w:val="1788"/>
      </w:trPr>
      <w:tc>
        <w:tcPr>
          <w:tcW w:w="4965" w:type="dxa"/>
        </w:tcPr>
        <w:p w14:paraId="74D39B81" w14:textId="0FF0B375" w:rsidR="00091E27" w:rsidRPr="00477FD9" w:rsidRDefault="00091E27" w:rsidP="00091E27">
          <w:pPr>
            <w:pStyle w:val="Footer"/>
            <w:rPr>
              <w:rFonts w:cs="Arial"/>
              <w:sz w:val="16"/>
              <w:szCs w:val="16"/>
            </w:rPr>
          </w:pPr>
          <w:r w:rsidRPr="00477FD9">
            <w:rPr>
              <w:rFonts w:cs="Arial"/>
              <w:sz w:val="16"/>
              <w:szCs w:val="16"/>
            </w:rPr>
            <w:t>Tele2 Eesti AS</w:t>
          </w:r>
        </w:p>
        <w:p w14:paraId="750191DB" w14:textId="77777777" w:rsidR="00091E27" w:rsidRPr="00477FD9" w:rsidRDefault="00091E27" w:rsidP="00091E27">
          <w:pPr>
            <w:pStyle w:val="Footer"/>
            <w:rPr>
              <w:rFonts w:cs="Arial"/>
              <w:sz w:val="16"/>
              <w:szCs w:val="16"/>
            </w:rPr>
          </w:pPr>
          <w:proofErr w:type="spellStart"/>
          <w:r w:rsidRPr="00477FD9">
            <w:rPr>
              <w:rFonts w:cs="Arial"/>
              <w:sz w:val="16"/>
              <w:szCs w:val="16"/>
            </w:rPr>
            <w:t>reg</w:t>
          </w:r>
          <w:proofErr w:type="spellEnd"/>
          <w:r w:rsidRPr="00477FD9">
            <w:rPr>
              <w:rFonts w:cs="Arial"/>
              <w:sz w:val="16"/>
              <w:szCs w:val="16"/>
            </w:rPr>
            <w:t xml:space="preserve"> nr 10069046</w:t>
          </w:r>
        </w:p>
        <w:p w14:paraId="58457146" w14:textId="77777777" w:rsidR="00091E27" w:rsidRPr="00477FD9" w:rsidRDefault="00806561" w:rsidP="00091E27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Valukoja 8/1,</w:t>
          </w:r>
          <w:r>
            <w:t xml:space="preserve"> </w:t>
          </w:r>
          <w:r w:rsidRPr="00806561">
            <w:rPr>
              <w:rFonts w:cs="Arial"/>
              <w:sz w:val="16"/>
              <w:szCs w:val="16"/>
            </w:rPr>
            <w:t>11415</w:t>
          </w:r>
          <w:r>
            <w:rPr>
              <w:rFonts w:cs="Arial"/>
              <w:sz w:val="16"/>
              <w:szCs w:val="16"/>
            </w:rPr>
            <w:t xml:space="preserve"> </w:t>
          </w:r>
          <w:r w:rsidR="00091E27" w:rsidRPr="00477FD9">
            <w:rPr>
              <w:rFonts w:cs="Arial"/>
              <w:sz w:val="16"/>
              <w:szCs w:val="16"/>
            </w:rPr>
            <w:t>Tallinn</w:t>
          </w:r>
        </w:p>
        <w:p w14:paraId="7B1767DD" w14:textId="7D68A7B1" w:rsidR="008B68AD" w:rsidRPr="00477FD9" w:rsidRDefault="00091E27" w:rsidP="00091E27">
          <w:pPr>
            <w:pStyle w:val="Footer"/>
            <w:rPr>
              <w:rFonts w:cs="Arial"/>
              <w:sz w:val="16"/>
              <w:szCs w:val="16"/>
            </w:rPr>
          </w:pPr>
          <w:r w:rsidRPr="00477FD9">
            <w:rPr>
              <w:rFonts w:cs="Arial"/>
              <w:sz w:val="16"/>
              <w:szCs w:val="16"/>
            </w:rPr>
            <w:t>tel +372 686 6866</w:t>
          </w:r>
          <w:r w:rsidRPr="00477FD9">
            <w:rPr>
              <w:rFonts w:cs="Arial"/>
              <w:sz w:val="16"/>
              <w:szCs w:val="16"/>
            </w:rPr>
            <w:br/>
          </w:r>
          <w:r w:rsidR="009208EB">
            <w:rPr>
              <w:rFonts w:cs="Arial"/>
              <w:sz w:val="16"/>
              <w:szCs w:val="16"/>
            </w:rPr>
            <w:t>tele2@tele2.ee</w:t>
          </w:r>
          <w:r w:rsidRPr="00477FD9">
            <w:rPr>
              <w:rFonts w:cs="Arial"/>
              <w:sz w:val="16"/>
              <w:szCs w:val="16"/>
            </w:rPr>
            <w:br/>
          </w:r>
          <w:r w:rsidR="008B68AD" w:rsidRPr="00477FD9">
            <w:rPr>
              <w:rFonts w:cs="Arial"/>
              <w:sz w:val="16"/>
              <w:szCs w:val="16"/>
            </w:rPr>
            <w:t>www.tele2.ee</w:t>
          </w:r>
        </w:p>
      </w:tc>
      <w:tc>
        <w:tcPr>
          <w:tcW w:w="4503" w:type="dxa"/>
        </w:tcPr>
        <w:p w14:paraId="4BF87688" w14:textId="04C931B7" w:rsidR="00091E27" w:rsidRPr="00477FD9" w:rsidRDefault="005D4D25" w:rsidP="00477FD9">
          <w:pPr>
            <w:pStyle w:val="Footer"/>
            <w:tabs>
              <w:tab w:val="clear" w:pos="4153"/>
              <w:tab w:val="center" w:pos="4575"/>
            </w:tabs>
            <w:ind w:right="-108"/>
            <w:jc w:val="right"/>
            <w:rPr>
              <w:sz w:val="16"/>
              <w:szCs w:val="16"/>
            </w:rPr>
          </w:pPr>
          <w:r w:rsidRPr="00477FD9">
            <w:rPr>
              <w:noProof/>
              <w:sz w:val="16"/>
              <w:szCs w:val="16"/>
            </w:rPr>
            <w:drawing>
              <wp:inline distT="0" distB="0" distL="0" distR="0" wp14:anchorId="115D9EDC" wp14:editId="7F915079">
                <wp:extent cx="2171700" cy="7334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2BE26D" w14:textId="77777777" w:rsidR="00FC2CB1" w:rsidRPr="00091E27" w:rsidRDefault="00FC2CB1" w:rsidP="00091E27">
    <w:pPr>
      <w:pStyle w:val="Footer"/>
      <w:rPr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9FF3" w14:textId="2776BF04" w:rsidR="007E660F" w:rsidRDefault="007E66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8AD373" wp14:editId="108FB5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95154376" name="Text Box 1" descr="Information Classification: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B1B5C" w14:textId="49E576E8" w:rsidR="007E660F" w:rsidRPr="007E660F" w:rsidRDefault="007E660F" w:rsidP="007E66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E66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Information Classification: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AD3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tion Classification: Internal 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" filled="f" stroked="f">
              <v:textbox style="mso-fit-shape-to-text:t" inset="20pt,0,0,15pt">
                <w:txbxContent>
                  <w:p w14:paraId="4BCB1B5C" w14:textId="49E576E8" w:rsidR="007E660F" w:rsidRPr="007E660F" w:rsidRDefault="007E660F" w:rsidP="007E660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E660F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Information Classification: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28BD9" w14:textId="77777777" w:rsidR="00082E6D" w:rsidRDefault="00082E6D">
      <w:r>
        <w:separator/>
      </w:r>
    </w:p>
  </w:footnote>
  <w:footnote w:type="continuationSeparator" w:id="0">
    <w:p w14:paraId="6FD6D194" w14:textId="77777777" w:rsidR="00082E6D" w:rsidRDefault="00082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F78"/>
    <w:multiLevelType w:val="hybridMultilevel"/>
    <w:tmpl w:val="B7444252"/>
    <w:lvl w:ilvl="0" w:tplc="31EEC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02D4"/>
    <w:multiLevelType w:val="hybridMultilevel"/>
    <w:tmpl w:val="F640ABE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F5E07"/>
    <w:multiLevelType w:val="hybridMultilevel"/>
    <w:tmpl w:val="7CA2F79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4148B"/>
    <w:multiLevelType w:val="hybridMultilevel"/>
    <w:tmpl w:val="A546E242"/>
    <w:lvl w:ilvl="0" w:tplc="66DEA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41812"/>
    <w:multiLevelType w:val="hybridMultilevel"/>
    <w:tmpl w:val="4A06548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46A52"/>
    <w:multiLevelType w:val="multilevel"/>
    <w:tmpl w:val="568EF814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EE5889"/>
    <w:multiLevelType w:val="hybridMultilevel"/>
    <w:tmpl w:val="4E36D80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703BB"/>
    <w:multiLevelType w:val="multilevel"/>
    <w:tmpl w:val="A21A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FF78AB"/>
    <w:multiLevelType w:val="hybridMultilevel"/>
    <w:tmpl w:val="A71C8CCA"/>
    <w:lvl w:ilvl="0" w:tplc="E5CEA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A713D"/>
    <w:multiLevelType w:val="hybridMultilevel"/>
    <w:tmpl w:val="FA9E26EC"/>
    <w:lvl w:ilvl="0" w:tplc="7D06CE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802131">
    <w:abstractNumId w:val="3"/>
  </w:num>
  <w:num w:numId="2" w16cid:durableId="1683554856">
    <w:abstractNumId w:val="9"/>
  </w:num>
  <w:num w:numId="3" w16cid:durableId="2058118766">
    <w:abstractNumId w:val="6"/>
  </w:num>
  <w:num w:numId="4" w16cid:durableId="1945073343">
    <w:abstractNumId w:val="8"/>
  </w:num>
  <w:num w:numId="5" w16cid:durableId="647829603">
    <w:abstractNumId w:val="4"/>
  </w:num>
  <w:num w:numId="6" w16cid:durableId="1083138681">
    <w:abstractNumId w:val="5"/>
  </w:num>
  <w:num w:numId="7" w16cid:durableId="126047491">
    <w:abstractNumId w:val="2"/>
  </w:num>
  <w:num w:numId="8" w16cid:durableId="1488211299">
    <w:abstractNumId w:val="7"/>
  </w:num>
  <w:num w:numId="9" w16cid:durableId="603422317">
    <w:abstractNumId w:val="1"/>
  </w:num>
  <w:num w:numId="10" w16cid:durableId="40619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B1"/>
    <w:rsid w:val="000007B0"/>
    <w:rsid w:val="0002387D"/>
    <w:rsid w:val="00024A33"/>
    <w:rsid w:val="00030A75"/>
    <w:rsid w:val="0003265F"/>
    <w:rsid w:val="0003553B"/>
    <w:rsid w:val="00036FB0"/>
    <w:rsid w:val="00040A09"/>
    <w:rsid w:val="00042193"/>
    <w:rsid w:val="00046F02"/>
    <w:rsid w:val="0004707F"/>
    <w:rsid w:val="00047449"/>
    <w:rsid w:val="0005776F"/>
    <w:rsid w:val="00057797"/>
    <w:rsid w:val="00067299"/>
    <w:rsid w:val="00082E6D"/>
    <w:rsid w:val="00090184"/>
    <w:rsid w:val="00090909"/>
    <w:rsid w:val="00091E27"/>
    <w:rsid w:val="00097826"/>
    <w:rsid w:val="000A1384"/>
    <w:rsid w:val="000B244C"/>
    <w:rsid w:val="000B41A0"/>
    <w:rsid w:val="000D0B24"/>
    <w:rsid w:val="000D5E5B"/>
    <w:rsid w:val="000E16DA"/>
    <w:rsid w:val="000F491A"/>
    <w:rsid w:val="0012775B"/>
    <w:rsid w:val="00130749"/>
    <w:rsid w:val="00132022"/>
    <w:rsid w:val="00136237"/>
    <w:rsid w:val="00147134"/>
    <w:rsid w:val="00147471"/>
    <w:rsid w:val="001552BC"/>
    <w:rsid w:val="0017246E"/>
    <w:rsid w:val="0018359C"/>
    <w:rsid w:val="0019130C"/>
    <w:rsid w:val="00192813"/>
    <w:rsid w:val="00193F22"/>
    <w:rsid w:val="00193FF7"/>
    <w:rsid w:val="00194711"/>
    <w:rsid w:val="001A2A49"/>
    <w:rsid w:val="001A63EE"/>
    <w:rsid w:val="001C68C9"/>
    <w:rsid w:val="001D222A"/>
    <w:rsid w:val="001F6B12"/>
    <w:rsid w:val="00202B35"/>
    <w:rsid w:val="00206968"/>
    <w:rsid w:val="00210F71"/>
    <w:rsid w:val="00212455"/>
    <w:rsid w:val="00214C8E"/>
    <w:rsid w:val="00224C39"/>
    <w:rsid w:val="00226450"/>
    <w:rsid w:val="0023082B"/>
    <w:rsid w:val="002316D0"/>
    <w:rsid w:val="002358D2"/>
    <w:rsid w:val="00237326"/>
    <w:rsid w:val="00263645"/>
    <w:rsid w:val="0027316A"/>
    <w:rsid w:val="00275C33"/>
    <w:rsid w:val="00294E19"/>
    <w:rsid w:val="002A4580"/>
    <w:rsid w:val="002A5F92"/>
    <w:rsid w:val="002B36CE"/>
    <w:rsid w:val="002C2FE1"/>
    <w:rsid w:val="002D255D"/>
    <w:rsid w:val="002D6505"/>
    <w:rsid w:val="002F0FD0"/>
    <w:rsid w:val="002F373F"/>
    <w:rsid w:val="00303A79"/>
    <w:rsid w:val="003171AD"/>
    <w:rsid w:val="00330BC2"/>
    <w:rsid w:val="00333771"/>
    <w:rsid w:val="00343136"/>
    <w:rsid w:val="003478EE"/>
    <w:rsid w:val="003539F7"/>
    <w:rsid w:val="003564C6"/>
    <w:rsid w:val="00372755"/>
    <w:rsid w:val="003777E9"/>
    <w:rsid w:val="0038345F"/>
    <w:rsid w:val="0038776C"/>
    <w:rsid w:val="003A2050"/>
    <w:rsid w:val="003A24B7"/>
    <w:rsid w:val="003B1274"/>
    <w:rsid w:val="003B3498"/>
    <w:rsid w:val="003B71CD"/>
    <w:rsid w:val="003C2579"/>
    <w:rsid w:val="003C6FF0"/>
    <w:rsid w:val="003D1D57"/>
    <w:rsid w:val="003E5B79"/>
    <w:rsid w:val="003F1FF8"/>
    <w:rsid w:val="00404A5B"/>
    <w:rsid w:val="00410CE5"/>
    <w:rsid w:val="00421BA4"/>
    <w:rsid w:val="00422187"/>
    <w:rsid w:val="00422D7F"/>
    <w:rsid w:val="00424D7E"/>
    <w:rsid w:val="00431FBC"/>
    <w:rsid w:val="00433785"/>
    <w:rsid w:val="00434BF6"/>
    <w:rsid w:val="004411AD"/>
    <w:rsid w:val="0044385D"/>
    <w:rsid w:val="00444789"/>
    <w:rsid w:val="00463EDE"/>
    <w:rsid w:val="00477FD9"/>
    <w:rsid w:val="00481437"/>
    <w:rsid w:val="00486C4A"/>
    <w:rsid w:val="00486CAD"/>
    <w:rsid w:val="0049090F"/>
    <w:rsid w:val="004A0DE0"/>
    <w:rsid w:val="004B0F0B"/>
    <w:rsid w:val="004B35DA"/>
    <w:rsid w:val="004B4234"/>
    <w:rsid w:val="004C2D57"/>
    <w:rsid w:val="004C474F"/>
    <w:rsid w:val="004D1D09"/>
    <w:rsid w:val="004D2C8E"/>
    <w:rsid w:val="004E50E1"/>
    <w:rsid w:val="004F4A0D"/>
    <w:rsid w:val="004F7D9A"/>
    <w:rsid w:val="004F7DB0"/>
    <w:rsid w:val="005006C0"/>
    <w:rsid w:val="00501D4A"/>
    <w:rsid w:val="00502163"/>
    <w:rsid w:val="00503D36"/>
    <w:rsid w:val="00517B60"/>
    <w:rsid w:val="00527931"/>
    <w:rsid w:val="005357A4"/>
    <w:rsid w:val="00563957"/>
    <w:rsid w:val="0057426F"/>
    <w:rsid w:val="0058275E"/>
    <w:rsid w:val="00586B5C"/>
    <w:rsid w:val="00590E42"/>
    <w:rsid w:val="005A014C"/>
    <w:rsid w:val="005A7FCF"/>
    <w:rsid w:val="005B01A6"/>
    <w:rsid w:val="005B74F6"/>
    <w:rsid w:val="005C53BC"/>
    <w:rsid w:val="005D470E"/>
    <w:rsid w:val="005D4D25"/>
    <w:rsid w:val="005D64D0"/>
    <w:rsid w:val="005E111E"/>
    <w:rsid w:val="005E131B"/>
    <w:rsid w:val="005E321B"/>
    <w:rsid w:val="005E3D95"/>
    <w:rsid w:val="005E3E6F"/>
    <w:rsid w:val="005E3ECE"/>
    <w:rsid w:val="005E5264"/>
    <w:rsid w:val="005F3C1C"/>
    <w:rsid w:val="0061789B"/>
    <w:rsid w:val="00623CA8"/>
    <w:rsid w:val="006278D2"/>
    <w:rsid w:val="00635012"/>
    <w:rsid w:val="006400E3"/>
    <w:rsid w:val="00640126"/>
    <w:rsid w:val="00641B8F"/>
    <w:rsid w:val="00644283"/>
    <w:rsid w:val="006500F0"/>
    <w:rsid w:val="00650447"/>
    <w:rsid w:val="00650902"/>
    <w:rsid w:val="00656E2E"/>
    <w:rsid w:val="00657904"/>
    <w:rsid w:val="0066094A"/>
    <w:rsid w:val="006655BD"/>
    <w:rsid w:val="0066563D"/>
    <w:rsid w:val="00670F1D"/>
    <w:rsid w:val="0069167C"/>
    <w:rsid w:val="006B4B2A"/>
    <w:rsid w:val="006B51EA"/>
    <w:rsid w:val="006C1409"/>
    <w:rsid w:val="006C4DCF"/>
    <w:rsid w:val="006D4191"/>
    <w:rsid w:val="006D5BE5"/>
    <w:rsid w:val="006E06F7"/>
    <w:rsid w:val="006E5F8F"/>
    <w:rsid w:val="007153B2"/>
    <w:rsid w:val="00744AEC"/>
    <w:rsid w:val="00746144"/>
    <w:rsid w:val="0075651E"/>
    <w:rsid w:val="00762A2E"/>
    <w:rsid w:val="00773C0B"/>
    <w:rsid w:val="007764E6"/>
    <w:rsid w:val="007835CD"/>
    <w:rsid w:val="007956BD"/>
    <w:rsid w:val="007A1162"/>
    <w:rsid w:val="007B673B"/>
    <w:rsid w:val="007D0817"/>
    <w:rsid w:val="007E099C"/>
    <w:rsid w:val="007E1568"/>
    <w:rsid w:val="007E660F"/>
    <w:rsid w:val="007F34ED"/>
    <w:rsid w:val="008051FC"/>
    <w:rsid w:val="00806561"/>
    <w:rsid w:val="0080776F"/>
    <w:rsid w:val="0081149D"/>
    <w:rsid w:val="00823F6B"/>
    <w:rsid w:val="00825D09"/>
    <w:rsid w:val="00827C46"/>
    <w:rsid w:val="00834876"/>
    <w:rsid w:val="00845185"/>
    <w:rsid w:val="008475B1"/>
    <w:rsid w:val="00861762"/>
    <w:rsid w:val="00867672"/>
    <w:rsid w:val="00882724"/>
    <w:rsid w:val="0088407A"/>
    <w:rsid w:val="00894AFE"/>
    <w:rsid w:val="00896B63"/>
    <w:rsid w:val="008A3423"/>
    <w:rsid w:val="008A5E6A"/>
    <w:rsid w:val="008A7FC4"/>
    <w:rsid w:val="008B4DC6"/>
    <w:rsid w:val="008B534D"/>
    <w:rsid w:val="008B68AD"/>
    <w:rsid w:val="008C5291"/>
    <w:rsid w:val="008F00E6"/>
    <w:rsid w:val="008F48DC"/>
    <w:rsid w:val="008F53E9"/>
    <w:rsid w:val="009001D6"/>
    <w:rsid w:val="009208EB"/>
    <w:rsid w:val="009231F7"/>
    <w:rsid w:val="00923FB1"/>
    <w:rsid w:val="00936EF9"/>
    <w:rsid w:val="009436F4"/>
    <w:rsid w:val="009442A6"/>
    <w:rsid w:val="00946372"/>
    <w:rsid w:val="00952A94"/>
    <w:rsid w:val="00953460"/>
    <w:rsid w:val="00960B86"/>
    <w:rsid w:val="00963124"/>
    <w:rsid w:val="009673AB"/>
    <w:rsid w:val="00990750"/>
    <w:rsid w:val="009920BC"/>
    <w:rsid w:val="009933E5"/>
    <w:rsid w:val="00993FDF"/>
    <w:rsid w:val="0099450D"/>
    <w:rsid w:val="00996F77"/>
    <w:rsid w:val="00997D8D"/>
    <w:rsid w:val="009A58F4"/>
    <w:rsid w:val="009A65B4"/>
    <w:rsid w:val="009A6D09"/>
    <w:rsid w:val="009B2A9E"/>
    <w:rsid w:val="009C3A5F"/>
    <w:rsid w:val="009C4FE4"/>
    <w:rsid w:val="009D1982"/>
    <w:rsid w:val="009D56D0"/>
    <w:rsid w:val="009E4660"/>
    <w:rsid w:val="009F232E"/>
    <w:rsid w:val="00A00FE7"/>
    <w:rsid w:val="00A04FD9"/>
    <w:rsid w:val="00A060A3"/>
    <w:rsid w:val="00A060EC"/>
    <w:rsid w:val="00A10EA4"/>
    <w:rsid w:val="00A11368"/>
    <w:rsid w:val="00A1207D"/>
    <w:rsid w:val="00A14DE0"/>
    <w:rsid w:val="00A179B3"/>
    <w:rsid w:val="00A20E69"/>
    <w:rsid w:val="00A2733C"/>
    <w:rsid w:val="00A30D36"/>
    <w:rsid w:val="00A35825"/>
    <w:rsid w:val="00A3633B"/>
    <w:rsid w:val="00A36351"/>
    <w:rsid w:val="00A45AC2"/>
    <w:rsid w:val="00A50B34"/>
    <w:rsid w:val="00A5583D"/>
    <w:rsid w:val="00A624B3"/>
    <w:rsid w:val="00A63FD0"/>
    <w:rsid w:val="00A6755E"/>
    <w:rsid w:val="00A75817"/>
    <w:rsid w:val="00A768B4"/>
    <w:rsid w:val="00A777AB"/>
    <w:rsid w:val="00A917E6"/>
    <w:rsid w:val="00AA5055"/>
    <w:rsid w:val="00AB014F"/>
    <w:rsid w:val="00AB538F"/>
    <w:rsid w:val="00AC293A"/>
    <w:rsid w:val="00AC33E2"/>
    <w:rsid w:val="00AC3E4D"/>
    <w:rsid w:val="00AC63BB"/>
    <w:rsid w:val="00AC7957"/>
    <w:rsid w:val="00AD52F8"/>
    <w:rsid w:val="00AE0192"/>
    <w:rsid w:val="00B01B7C"/>
    <w:rsid w:val="00B04EA1"/>
    <w:rsid w:val="00B06F20"/>
    <w:rsid w:val="00B10F42"/>
    <w:rsid w:val="00B127BB"/>
    <w:rsid w:val="00B22EAD"/>
    <w:rsid w:val="00B230B4"/>
    <w:rsid w:val="00B36AC8"/>
    <w:rsid w:val="00B43767"/>
    <w:rsid w:val="00B67AD3"/>
    <w:rsid w:val="00B8101E"/>
    <w:rsid w:val="00B86372"/>
    <w:rsid w:val="00B86846"/>
    <w:rsid w:val="00B900BC"/>
    <w:rsid w:val="00B931ED"/>
    <w:rsid w:val="00BB2DBF"/>
    <w:rsid w:val="00BB3512"/>
    <w:rsid w:val="00BB3AFC"/>
    <w:rsid w:val="00BD0F09"/>
    <w:rsid w:val="00BE1D14"/>
    <w:rsid w:val="00BE40C9"/>
    <w:rsid w:val="00BF48A7"/>
    <w:rsid w:val="00BF73EE"/>
    <w:rsid w:val="00C12493"/>
    <w:rsid w:val="00C219D6"/>
    <w:rsid w:val="00C54686"/>
    <w:rsid w:val="00C6560F"/>
    <w:rsid w:val="00C66C91"/>
    <w:rsid w:val="00C84D6C"/>
    <w:rsid w:val="00C95205"/>
    <w:rsid w:val="00CA64AD"/>
    <w:rsid w:val="00CA6903"/>
    <w:rsid w:val="00CB25FE"/>
    <w:rsid w:val="00CB270C"/>
    <w:rsid w:val="00CB570A"/>
    <w:rsid w:val="00CB6229"/>
    <w:rsid w:val="00CC1786"/>
    <w:rsid w:val="00CC3D48"/>
    <w:rsid w:val="00CC3F18"/>
    <w:rsid w:val="00CC5720"/>
    <w:rsid w:val="00CC7C7A"/>
    <w:rsid w:val="00CD6109"/>
    <w:rsid w:val="00D042BC"/>
    <w:rsid w:val="00D063E9"/>
    <w:rsid w:val="00D25BD4"/>
    <w:rsid w:val="00D30CB7"/>
    <w:rsid w:val="00D42422"/>
    <w:rsid w:val="00D530F6"/>
    <w:rsid w:val="00D532DD"/>
    <w:rsid w:val="00D57009"/>
    <w:rsid w:val="00D6084A"/>
    <w:rsid w:val="00D632CA"/>
    <w:rsid w:val="00D63BDA"/>
    <w:rsid w:val="00D6667F"/>
    <w:rsid w:val="00D6756E"/>
    <w:rsid w:val="00D7109A"/>
    <w:rsid w:val="00D77533"/>
    <w:rsid w:val="00D93DAF"/>
    <w:rsid w:val="00DA36D0"/>
    <w:rsid w:val="00DC774E"/>
    <w:rsid w:val="00DD0BC9"/>
    <w:rsid w:val="00DD1BB3"/>
    <w:rsid w:val="00DD6291"/>
    <w:rsid w:val="00DF0491"/>
    <w:rsid w:val="00DF09E4"/>
    <w:rsid w:val="00DF2E7A"/>
    <w:rsid w:val="00E02CFE"/>
    <w:rsid w:val="00E147E8"/>
    <w:rsid w:val="00E20893"/>
    <w:rsid w:val="00E20F67"/>
    <w:rsid w:val="00E26FA8"/>
    <w:rsid w:val="00E45D2C"/>
    <w:rsid w:val="00E51C48"/>
    <w:rsid w:val="00E54846"/>
    <w:rsid w:val="00E5689F"/>
    <w:rsid w:val="00E64C59"/>
    <w:rsid w:val="00E66A06"/>
    <w:rsid w:val="00E82F6B"/>
    <w:rsid w:val="00E840E8"/>
    <w:rsid w:val="00E842F5"/>
    <w:rsid w:val="00E867A0"/>
    <w:rsid w:val="00E86834"/>
    <w:rsid w:val="00E9614B"/>
    <w:rsid w:val="00EC0D75"/>
    <w:rsid w:val="00ED4FE8"/>
    <w:rsid w:val="00ED6768"/>
    <w:rsid w:val="00ED74E7"/>
    <w:rsid w:val="00ED7BB2"/>
    <w:rsid w:val="00EE0803"/>
    <w:rsid w:val="00EE6472"/>
    <w:rsid w:val="00EF1FC2"/>
    <w:rsid w:val="00EF21DE"/>
    <w:rsid w:val="00EF5453"/>
    <w:rsid w:val="00F04F35"/>
    <w:rsid w:val="00F11B37"/>
    <w:rsid w:val="00F16904"/>
    <w:rsid w:val="00F2030B"/>
    <w:rsid w:val="00F24594"/>
    <w:rsid w:val="00F444DC"/>
    <w:rsid w:val="00F5511E"/>
    <w:rsid w:val="00F60C2B"/>
    <w:rsid w:val="00F814C5"/>
    <w:rsid w:val="00F81EF8"/>
    <w:rsid w:val="00F941C6"/>
    <w:rsid w:val="00F942E3"/>
    <w:rsid w:val="00F949E1"/>
    <w:rsid w:val="00F96C8F"/>
    <w:rsid w:val="00FA4E12"/>
    <w:rsid w:val="00FB0682"/>
    <w:rsid w:val="00FC2CB1"/>
    <w:rsid w:val="00FD13CA"/>
    <w:rsid w:val="00FF379C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17C1C7D"/>
  <w15:chartTrackingRefBased/>
  <w15:docId w15:val="{06369533-5298-465B-8AC3-73E210F4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2CB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2CB1"/>
    <w:pPr>
      <w:tabs>
        <w:tab w:val="center" w:pos="4153"/>
        <w:tab w:val="right" w:pos="8306"/>
      </w:tabs>
    </w:pPr>
  </w:style>
  <w:style w:type="character" w:styleId="Hyperlink">
    <w:name w:val="Hyperlink"/>
    <w:rsid w:val="00FC2CB1"/>
    <w:rPr>
      <w:color w:val="0000FF"/>
      <w:u w:val="single"/>
    </w:rPr>
  </w:style>
  <w:style w:type="table" w:styleId="TableGrid">
    <w:name w:val="Table Grid"/>
    <w:basedOn w:val="TableNormal"/>
    <w:rsid w:val="00091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632CA"/>
  </w:style>
  <w:style w:type="paragraph" w:styleId="BalloonText">
    <w:name w:val="Balloon Text"/>
    <w:basedOn w:val="Normal"/>
    <w:semiHidden/>
    <w:rsid w:val="00D632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3E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E3ECE"/>
    <w:pPr>
      <w:ind w:left="708"/>
    </w:pPr>
    <w:rPr>
      <w:lang w:val="en-US" w:eastAsia="en-US"/>
    </w:rPr>
  </w:style>
  <w:style w:type="character" w:styleId="UnresolvedMention">
    <w:name w:val="Unresolved Mention"/>
    <w:uiPriority w:val="99"/>
    <w:semiHidden/>
    <w:unhideWhenUsed/>
    <w:rsid w:val="00D42422"/>
    <w:rPr>
      <w:color w:val="808080"/>
      <w:shd w:val="clear" w:color="auto" w:fill="E6E6E6"/>
    </w:rPr>
  </w:style>
  <w:style w:type="character" w:styleId="FollowedHyperlink">
    <w:name w:val="FollowedHyperlink"/>
    <w:rsid w:val="00AC33E2"/>
    <w:rPr>
      <w:color w:val="954F72"/>
      <w:u w:val="single"/>
    </w:rPr>
  </w:style>
  <w:style w:type="paragraph" w:styleId="FootnoteText">
    <w:name w:val="footnote text"/>
    <w:basedOn w:val="Normal"/>
    <w:link w:val="FootnoteTextChar"/>
    <w:rsid w:val="00BF48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F48A7"/>
  </w:style>
  <w:style w:type="character" w:styleId="FootnoteReference">
    <w:name w:val="footnote reference"/>
    <w:basedOn w:val="DefaultParagraphFont"/>
    <w:rsid w:val="00BF48A7"/>
    <w:rPr>
      <w:vertAlign w:val="superscript"/>
    </w:rPr>
  </w:style>
  <w:style w:type="paragraph" w:customStyle="1" w:styleId="p1">
    <w:name w:val="p1"/>
    <w:basedOn w:val="Normal"/>
    <w:rsid w:val="00997D8D"/>
    <w:rPr>
      <w:rFonts w:ascii="Arial" w:hAnsi="Arial" w:cs="Arial"/>
      <w:color w:val="000000"/>
      <w:sz w:val="15"/>
      <w:szCs w:val="15"/>
      <w:lang w:val="en-EE" w:eastAsia="en-GB"/>
    </w:rPr>
  </w:style>
  <w:style w:type="paragraph" w:customStyle="1" w:styleId="p2">
    <w:name w:val="p2"/>
    <w:basedOn w:val="Normal"/>
    <w:rsid w:val="00997D8D"/>
    <w:rPr>
      <w:rFonts w:ascii="Arial" w:hAnsi="Arial" w:cs="Arial"/>
      <w:color w:val="0000FF"/>
      <w:sz w:val="15"/>
      <w:szCs w:val="15"/>
      <w:lang w:val="en-EE" w:eastAsia="en-GB"/>
    </w:rPr>
  </w:style>
  <w:style w:type="character" w:customStyle="1" w:styleId="apple-converted-space">
    <w:name w:val="apple-converted-space"/>
    <w:basedOn w:val="DefaultParagraphFont"/>
    <w:rsid w:val="00172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Meie nr</vt:lpstr>
      <vt:lpstr>Meie nr</vt:lpstr>
    </vt:vector>
  </TitlesOfParts>
  <Company> 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Meie nr</dc:title>
  <dc:subject/>
  <dc:creator>andrjoes</dc:creator>
  <cp:keywords/>
  <dc:description/>
  <cp:lastModifiedBy>Taivo Kendla</cp:lastModifiedBy>
  <cp:revision>6</cp:revision>
  <cp:lastPrinted>2009-12-08T14:15:00Z</cp:lastPrinted>
  <dcterms:created xsi:type="dcterms:W3CDTF">2026-05-20T11:37:00Z</dcterms:created>
  <dcterms:modified xsi:type="dcterms:W3CDTF">2026-05-20T12:51:00Z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296f36c8,31db0921,4dc6a415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Information Classification: Internal </vt:lpwstr>
  </property>
  <property fmtid="{D5CDD505-2E9C-101B-9397-08002B2CF9AE}" pid="5" name="MSIP_Label_ecca9737-3fb7-4a23-a452-5fd2dddae788_Enabled">
    <vt:lpwstr>true</vt:lpwstr>
  </property>
  <property fmtid="{D5CDD505-2E9C-101B-9397-08002B2CF9AE}" pid="6" name="MSIP_Label_ecca9737-3fb7-4a23-a452-5fd2dddae788_SetDate">
    <vt:lpwstr>2024-05-13T13:32:10Z</vt:lpwstr>
  </property>
  <property fmtid="{D5CDD505-2E9C-101B-9397-08002B2CF9AE}" pid="7" name="MSIP_Label_ecca9737-3fb7-4a23-a452-5fd2dddae788_Method">
    <vt:lpwstr>Standard</vt:lpwstr>
  </property>
  <property fmtid="{D5CDD505-2E9C-101B-9397-08002B2CF9AE}" pid="8" name="MSIP_Label_ecca9737-3fb7-4a23-a452-5fd2dddae788_Name">
    <vt:lpwstr>Internal</vt:lpwstr>
  </property>
  <property fmtid="{D5CDD505-2E9C-101B-9397-08002B2CF9AE}" pid="9" name="MSIP_Label_ecca9737-3fb7-4a23-a452-5fd2dddae788_SiteId">
    <vt:lpwstr>76431109-ff89-42c2-8781-a07ca07a2d57</vt:lpwstr>
  </property>
  <property fmtid="{D5CDD505-2E9C-101B-9397-08002B2CF9AE}" pid="10" name="MSIP_Label_ecca9737-3fb7-4a23-a452-5fd2dddae788_ActionId">
    <vt:lpwstr>f12e158d-f5bf-4391-9b93-829e191cdb82</vt:lpwstr>
  </property>
  <property fmtid="{D5CDD505-2E9C-101B-9397-08002B2CF9AE}" pid="11" name="MSIP_Label_ecca9737-3fb7-4a23-a452-5fd2dddae788_ContentBits">
    <vt:lpwstr>2</vt:lpwstr>
  </property>
</Properties>
</file>